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tblpY="1"/>
        <w:tblOverlap w:val="never"/>
        <w:tblW w:w="0" w:type="auto"/>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tblGrid>
      <w:tr w:rsidR="00FC21F3" w14:paraId="41514E2A" w14:textId="77777777" w:rsidTr="007C7C2D">
        <w:trPr>
          <w:cantSplit/>
          <w:trHeight w:val="850"/>
        </w:trPr>
        <w:tc>
          <w:tcPr>
            <w:tcW w:w="2905" w:type="dxa"/>
            <w:hideMark/>
          </w:tcPr>
          <w:p w14:paraId="03D945A4" w14:textId="27DCB802" w:rsidR="00FC21F3" w:rsidRDefault="00FC21F3" w:rsidP="007C7C2D">
            <w:pPr>
              <w:pStyle w:val="Zhlav"/>
              <w:jc w:val="center"/>
              <w:rPr>
                <w:sz w:val="20"/>
              </w:rPr>
            </w:pPr>
            <w:r>
              <w:rPr>
                <w:noProof/>
              </w:rPr>
              <w:drawing>
                <wp:anchor distT="0" distB="0" distL="114300" distR="114300" simplePos="0" relativeHeight="251660288" behindDoc="0" locked="0" layoutInCell="1" allowOverlap="1" wp14:anchorId="367E3250" wp14:editId="225CEE3F">
                  <wp:simplePos x="0" y="0"/>
                  <wp:positionH relativeFrom="column">
                    <wp:posOffset>8255</wp:posOffset>
                  </wp:positionH>
                  <wp:positionV relativeFrom="paragraph">
                    <wp:posOffset>-23495</wp:posOffset>
                  </wp:positionV>
                  <wp:extent cx="485775" cy="491923"/>
                  <wp:effectExtent l="0" t="0" r="0" b="381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283" cy="498514"/>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22CAFCA" wp14:editId="6760CE78">
                      <wp:simplePos x="0" y="0"/>
                      <wp:positionH relativeFrom="column">
                        <wp:posOffset>494030</wp:posOffset>
                      </wp:positionH>
                      <wp:positionV relativeFrom="paragraph">
                        <wp:posOffset>-4445</wp:posOffset>
                      </wp:positionV>
                      <wp:extent cx="1362075" cy="428625"/>
                      <wp:effectExtent l="0" t="0" r="9525"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DDB5A0" w14:textId="77777777" w:rsidR="00FC21F3" w:rsidRDefault="00FC21F3" w:rsidP="00FC21F3">
                                  <w:pPr>
                                    <w:rPr>
                                      <w:sz w:val="14"/>
                                    </w:rPr>
                                  </w:pPr>
                                  <w:r>
                                    <w:rPr>
                                      <w:sz w:val="14"/>
                                    </w:rPr>
                                    <w:t>SWR JIHLAVA, spol. s.r.o.</w:t>
                                  </w:r>
                                </w:p>
                                <w:p w14:paraId="5F8D8168" w14:textId="77777777" w:rsidR="00FC21F3" w:rsidRDefault="00FC21F3" w:rsidP="00FC21F3">
                                  <w:pPr>
                                    <w:rPr>
                                      <w:sz w:val="14"/>
                                    </w:rPr>
                                  </w:pPr>
                                  <w:r>
                                    <w:rPr>
                                      <w:sz w:val="14"/>
                                    </w:rPr>
                                    <w:t>588 27 Jamné 48</w:t>
                                  </w:r>
                                </w:p>
                                <w:p w14:paraId="52AA5B28" w14:textId="77777777" w:rsidR="00FC21F3" w:rsidRDefault="00FC21F3" w:rsidP="00FC21F3">
                                  <w:pPr>
                                    <w:rPr>
                                      <w:color w:val="0000FF"/>
                                      <w:sz w:val="14"/>
                                      <w:u w:val="single"/>
                                    </w:rPr>
                                  </w:pPr>
                                  <w:r>
                                    <w:rPr>
                                      <w:color w:val="0000FF"/>
                                      <w:sz w:val="14"/>
                                      <w:u w:val="single"/>
                                    </w:rPr>
                                    <w:t>www.swrjihlava.cz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22CAFCA">
                      <v:stroke joinstyle="miter"/>
                      <v:path gradientshapeok="t" o:connecttype="rect"/>
                    </v:shapetype>
                    <v:shape id="Textové pole 1" style="position:absolute;left:0;text-align:left;margin-left:38.9pt;margin-top:-.35pt;width:107.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">
                      <v:textbox>
                        <w:txbxContent>
                          <w:p w:rsidR="00FC21F3" w:rsidP="00FC21F3" w:rsidRDefault="00FC21F3" w14:paraId="07DDB5A0" w14:textId="77777777">
                            <w:pPr>
                              <w:rPr>
                                <w:sz w:val="14"/>
                              </w:rPr>
                            </w:pPr>
                            <w:r>
                              <w:rPr>
                                <w:sz w:val="14"/>
                                <w:lang w:val="English"/>
                              </w:rPr>
                              <w:t>SWR JIHLAVA, spol. s.r.o.</w:t>
                            </w:r>
                          </w:p>
                          <w:p w:rsidR="00FC21F3" w:rsidP="00FC21F3" w:rsidRDefault="00FC21F3" w14:paraId="5F8D8168" w14:textId="77777777">
                            <w:pPr>
                              <w:rPr>
                                <w:sz w:val="14"/>
                              </w:rPr>
                            </w:pPr>
                            <w:r>
                              <w:rPr>
                                <w:sz w:val="14"/>
                                <w:lang w:val="English"/>
                              </w:rPr>
                              <w:t>588 27 Jamné 48</w:t>
                            </w:r>
                          </w:p>
                          <w:p w:rsidR="00FC21F3" w:rsidP="00FC21F3" w:rsidRDefault="00FC21F3" w14:paraId="52AA5B28" w14:textId="77777777">
                            <w:pPr>
                              <w:rPr>
                                <w:color w:val="0000FF"/>
                                <w:sz w:val="14"/>
                                <w:u w:val="single"/>
                              </w:rPr>
                            </w:pPr>
                            <w:r>
                              <w:rPr>
                                <w:color w:val="0000FF"/>
                                <w:sz w:val="14"/>
                                <w:u w:val="single"/>
                                <w:lang w:val="English"/>
                              </w:rPr>
                              <w:t>www.swrjihlava.cz</w:t>
                            </w:r>
                          </w:p>
                        </w:txbxContent>
                      </v:textbox>
                    </v:shape>
                  </w:pict>
                </mc:Fallback>
              </mc:AlternateContent>
            </w:r>
          </w:p>
        </w:tc>
      </w:tr>
    </w:tbl>
    <w:p w14:paraId="673073D4" w14:textId="2F2CBAC2" w:rsidR="00CA6651" w:rsidRDefault="007C7C2D" w:rsidP="007C7C2D">
      <w:pPr>
        <w:jc w:val="right"/>
        <w:rPr>
          <w:rFonts w:ascii="Times New Roman" w:hAnsi="Times New Roman"/>
          <w:b/>
          <w:sz w:val="28"/>
          <w:szCs w:val="28"/>
        </w:rPr>
      </w:pPr>
      <w:r>
        <w:rPr>
          <w:rFonts w:ascii="Times New Roman" w:hAnsi="Times New Roman"/>
          <w:bCs/>
          <w:szCs w:val="24"/>
        </w:rPr>
        <w:t>Appendix No. 1 to 9.1.3.0-QS-01</w:t>
      </w:r>
      <w:r>
        <w:rPr>
          <w:rFonts w:ascii="Times New Roman" w:hAnsi="Times New Roman"/>
          <w:b/>
          <w:sz w:val="28"/>
          <w:szCs w:val="28"/>
        </w:rPr>
        <w:br w:type="textWrapping" w:clear="all"/>
      </w:r>
    </w:p>
    <w:p w14:paraId="48D86C4C" w14:textId="77777777" w:rsidR="001F3FDB" w:rsidRDefault="001F3FDB" w:rsidP="00541F14">
      <w:pPr>
        <w:jc w:val="center"/>
        <w:rPr>
          <w:rFonts w:ascii="Times New Roman" w:hAnsi="Times New Roman"/>
          <w:b/>
          <w:sz w:val="28"/>
          <w:szCs w:val="28"/>
        </w:rPr>
      </w:pPr>
    </w:p>
    <w:p w14:paraId="31BF891C" w14:textId="77777777" w:rsidR="00FC21F3" w:rsidRDefault="00FC21F3" w:rsidP="00541F14">
      <w:pPr>
        <w:jc w:val="center"/>
        <w:rPr>
          <w:rFonts w:ascii="Times New Roman" w:hAnsi="Times New Roman"/>
          <w:b/>
          <w:sz w:val="28"/>
          <w:szCs w:val="28"/>
        </w:rPr>
      </w:pPr>
      <w:r>
        <w:rPr>
          <w:rFonts w:ascii="Times New Roman" w:hAnsi="Times New Roman"/>
          <w:b/>
          <w:sz w:val="28"/>
          <w:szCs w:val="28"/>
        </w:rPr>
        <w:t>Information for filing a notification pursuant to Act No. 171/2023 Coll.,</w:t>
      </w:r>
    </w:p>
    <w:p w14:paraId="1BFBC76C" w14:textId="77777777" w:rsidR="00CA6651" w:rsidRDefault="00FC21F3" w:rsidP="00CA6651">
      <w:pPr>
        <w:jc w:val="center"/>
        <w:rPr>
          <w:rFonts w:ascii="Times New Roman" w:hAnsi="Times New Roman"/>
          <w:b/>
          <w:sz w:val="28"/>
          <w:szCs w:val="28"/>
        </w:rPr>
      </w:pPr>
      <w:r>
        <w:rPr>
          <w:rFonts w:ascii="Times New Roman" w:hAnsi="Times New Roman"/>
          <w:b/>
          <w:sz w:val="28"/>
          <w:szCs w:val="28"/>
        </w:rPr>
        <w:t>on the protection of whistleblowers</w:t>
      </w:r>
    </w:p>
    <w:p w14:paraId="251E4251" w14:textId="77777777" w:rsidR="00FC21F3" w:rsidRDefault="00FC21F3" w:rsidP="00541F14">
      <w:pPr>
        <w:jc w:val="both"/>
        <w:rPr>
          <w:rFonts w:ascii="Times New Roman" w:hAnsi="Times New Roman"/>
          <w:b/>
          <w:sz w:val="28"/>
          <w:szCs w:val="28"/>
        </w:rPr>
      </w:pPr>
    </w:p>
    <w:p w14:paraId="14E2ED3A" w14:textId="77777777" w:rsidR="00FC21F3" w:rsidRPr="00FC21F3" w:rsidRDefault="00FC21F3" w:rsidP="00541F14">
      <w:pPr>
        <w:pStyle w:val="Odstavecseseznamem"/>
        <w:numPr>
          <w:ilvl w:val="0"/>
          <w:numId w:val="1"/>
        </w:numPr>
        <w:jc w:val="both"/>
        <w:rPr>
          <w:rFonts w:ascii="Times New Roman" w:hAnsi="Times New Roman"/>
          <w:b/>
          <w:szCs w:val="24"/>
        </w:rPr>
      </w:pPr>
      <w:r>
        <w:rPr>
          <w:rFonts w:ascii="Times New Roman" w:hAnsi="Times New Roman"/>
          <w:b/>
          <w:szCs w:val="24"/>
          <w:u w:val="single"/>
        </w:rPr>
        <w:t>Obliged entity</w:t>
      </w:r>
    </w:p>
    <w:p w14:paraId="60B38EB4" w14:textId="77777777" w:rsidR="00FC21F3" w:rsidRDefault="00FC21F3" w:rsidP="00541F14">
      <w:pPr>
        <w:pStyle w:val="Odstavecseseznamem"/>
        <w:jc w:val="both"/>
        <w:rPr>
          <w:rFonts w:ascii="Times New Roman" w:hAnsi="Times New Roman"/>
          <w:b/>
          <w:szCs w:val="24"/>
          <w:u w:val="single"/>
        </w:rPr>
      </w:pPr>
    </w:p>
    <w:p w14:paraId="637677EA" w14:textId="77777777" w:rsidR="00FC21F3" w:rsidRDefault="00FC21F3" w:rsidP="00541F14">
      <w:pPr>
        <w:pStyle w:val="Odstavecseseznamem"/>
        <w:jc w:val="both"/>
        <w:rPr>
          <w:rFonts w:ascii="Times New Roman" w:hAnsi="Times New Roman"/>
          <w:szCs w:val="24"/>
        </w:rPr>
      </w:pPr>
      <w:r>
        <w:rPr>
          <w:rFonts w:ascii="Times New Roman" w:hAnsi="Times New Roman"/>
          <w:szCs w:val="24"/>
        </w:rPr>
        <w:t>SWR JHLAVA, spol. s r.o., Jamné 48, 588 27 Jamné, ID 25307304</w:t>
      </w:r>
    </w:p>
    <w:p w14:paraId="52E334C2" w14:textId="77777777" w:rsidR="00541F14" w:rsidRPr="00FC21F3" w:rsidRDefault="00541F14" w:rsidP="00541F14">
      <w:pPr>
        <w:pStyle w:val="Odstavecseseznamem"/>
        <w:jc w:val="both"/>
        <w:rPr>
          <w:rFonts w:ascii="Times New Roman" w:hAnsi="Times New Roman"/>
          <w:szCs w:val="24"/>
        </w:rPr>
      </w:pPr>
    </w:p>
    <w:p w14:paraId="716BCDC4" w14:textId="77777777" w:rsidR="00FC21F3" w:rsidRPr="00541F14" w:rsidRDefault="00541F14" w:rsidP="00541F14">
      <w:pPr>
        <w:pStyle w:val="Odstavecseseznamem"/>
        <w:numPr>
          <w:ilvl w:val="0"/>
          <w:numId w:val="1"/>
        </w:numPr>
        <w:jc w:val="both"/>
        <w:rPr>
          <w:rFonts w:ascii="Times New Roman" w:hAnsi="Times New Roman"/>
          <w:b/>
          <w:szCs w:val="24"/>
        </w:rPr>
      </w:pPr>
      <w:r>
        <w:rPr>
          <w:rFonts w:ascii="Times New Roman" w:hAnsi="Times New Roman"/>
          <w:b/>
          <w:szCs w:val="24"/>
          <w:u w:val="single"/>
        </w:rPr>
        <w:t>Legislation</w:t>
      </w:r>
    </w:p>
    <w:p w14:paraId="4FC1C97E" w14:textId="77777777" w:rsidR="00541F14" w:rsidRDefault="00541F14" w:rsidP="00541F14">
      <w:pPr>
        <w:pStyle w:val="Odstavecseseznamem"/>
        <w:jc w:val="both"/>
        <w:rPr>
          <w:rFonts w:ascii="Times New Roman" w:hAnsi="Times New Roman"/>
          <w:b/>
          <w:szCs w:val="24"/>
          <w:u w:val="single"/>
        </w:rPr>
      </w:pPr>
    </w:p>
    <w:p w14:paraId="585BD930" w14:textId="77777777" w:rsidR="00541F14" w:rsidRDefault="00541F14" w:rsidP="00541F14">
      <w:pPr>
        <w:pStyle w:val="Odstavecseseznamem"/>
        <w:jc w:val="both"/>
        <w:rPr>
          <w:rFonts w:ascii="Times New Roman" w:hAnsi="Times New Roman"/>
          <w:szCs w:val="24"/>
        </w:rPr>
      </w:pPr>
      <w:r>
        <w:rPr>
          <w:rFonts w:ascii="Times New Roman" w:hAnsi="Times New Roman"/>
          <w:szCs w:val="24"/>
        </w:rPr>
        <w:t>Act No. 171/2023 Coll., on the Protection of Whistleblowers, as amended (hereinafter referred to as the "Act")</w:t>
      </w:r>
    </w:p>
    <w:p w14:paraId="56A7EE49" w14:textId="77777777" w:rsidR="00541F14" w:rsidRPr="00541F14" w:rsidRDefault="00541F14" w:rsidP="00541F14">
      <w:pPr>
        <w:pStyle w:val="Odstavecseseznamem"/>
        <w:jc w:val="both"/>
        <w:rPr>
          <w:rFonts w:ascii="Times New Roman" w:hAnsi="Times New Roman"/>
          <w:szCs w:val="24"/>
        </w:rPr>
      </w:pPr>
    </w:p>
    <w:p w14:paraId="036D5D49" w14:textId="77777777" w:rsidR="00541F14" w:rsidRPr="001B521D" w:rsidRDefault="001B521D" w:rsidP="00541F14">
      <w:pPr>
        <w:pStyle w:val="Odstavecseseznamem"/>
        <w:numPr>
          <w:ilvl w:val="0"/>
          <w:numId w:val="1"/>
        </w:numPr>
        <w:jc w:val="both"/>
        <w:rPr>
          <w:rFonts w:ascii="Times New Roman" w:hAnsi="Times New Roman"/>
          <w:b/>
          <w:szCs w:val="24"/>
        </w:rPr>
      </w:pPr>
      <w:r>
        <w:rPr>
          <w:rFonts w:ascii="Times New Roman" w:hAnsi="Times New Roman"/>
          <w:b/>
          <w:szCs w:val="24"/>
          <w:u w:val="single"/>
        </w:rPr>
        <w:t>Annunciator</w:t>
      </w:r>
    </w:p>
    <w:p w14:paraId="15A0692D" w14:textId="77777777" w:rsidR="001B521D" w:rsidRDefault="001B521D" w:rsidP="001B521D">
      <w:pPr>
        <w:pStyle w:val="Odstavecseseznamem"/>
        <w:jc w:val="both"/>
        <w:rPr>
          <w:rFonts w:ascii="Times New Roman" w:hAnsi="Times New Roman"/>
          <w:b/>
          <w:szCs w:val="24"/>
          <w:u w:val="single"/>
        </w:rPr>
      </w:pPr>
    </w:p>
    <w:p w14:paraId="45EFAAE7" w14:textId="77777777" w:rsidR="001B521D" w:rsidRDefault="001B521D" w:rsidP="001B521D">
      <w:pPr>
        <w:pStyle w:val="Odstavecseseznamem"/>
        <w:jc w:val="both"/>
        <w:rPr>
          <w:rFonts w:ascii="Times New Roman" w:hAnsi="Times New Roman"/>
          <w:szCs w:val="24"/>
        </w:rPr>
      </w:pPr>
      <w:r>
        <w:rPr>
          <w:rFonts w:ascii="Times New Roman" w:hAnsi="Times New Roman"/>
          <w:szCs w:val="24"/>
        </w:rPr>
        <w:t xml:space="preserve">A natural person who has performed or is performing work or other similar activity specified in Art. §2 para. 3 </w:t>
      </w:r>
      <w:proofErr w:type="spellStart"/>
      <w:r>
        <w:rPr>
          <w:rFonts w:ascii="Times New Roman" w:hAnsi="Times New Roman"/>
          <w:szCs w:val="24"/>
        </w:rPr>
        <w:t>of</w:t>
      </w:r>
      <w:proofErr w:type="spellEnd"/>
      <w:r>
        <w:rPr>
          <w:rFonts w:ascii="Times New Roman" w:hAnsi="Times New Roman"/>
          <w:szCs w:val="24"/>
        </w:rPr>
        <w:t xml:space="preserve"> </w:t>
      </w:r>
      <w:proofErr w:type="spellStart"/>
      <w:r>
        <w:rPr>
          <w:rFonts w:ascii="Times New Roman" w:hAnsi="Times New Roman"/>
          <w:szCs w:val="24"/>
        </w:rPr>
        <w:t>the</w:t>
      </w:r>
      <w:proofErr w:type="spellEnd"/>
      <w:r>
        <w:rPr>
          <w:rFonts w:ascii="Times New Roman" w:hAnsi="Times New Roman"/>
          <w:szCs w:val="24"/>
        </w:rPr>
        <w:t xml:space="preserve"> </w:t>
      </w:r>
      <w:proofErr w:type="spellStart"/>
      <w:r>
        <w:rPr>
          <w:rFonts w:ascii="Times New Roman" w:hAnsi="Times New Roman"/>
          <w:szCs w:val="24"/>
        </w:rPr>
        <w:t>Act</w:t>
      </w:r>
      <w:proofErr w:type="spellEnd"/>
    </w:p>
    <w:p w14:paraId="167C4BAB" w14:textId="77777777" w:rsidR="001B521D" w:rsidRPr="001B521D" w:rsidRDefault="001B521D" w:rsidP="001B521D">
      <w:pPr>
        <w:pStyle w:val="Odstavecseseznamem"/>
        <w:jc w:val="both"/>
        <w:rPr>
          <w:rFonts w:ascii="Times New Roman" w:hAnsi="Times New Roman"/>
          <w:szCs w:val="24"/>
        </w:rPr>
      </w:pPr>
    </w:p>
    <w:p w14:paraId="396F9A3E" w14:textId="77777777" w:rsidR="001B521D" w:rsidRPr="001B521D" w:rsidRDefault="001B521D" w:rsidP="00541F14">
      <w:pPr>
        <w:pStyle w:val="Odstavecseseznamem"/>
        <w:numPr>
          <w:ilvl w:val="0"/>
          <w:numId w:val="1"/>
        </w:numPr>
        <w:jc w:val="both"/>
        <w:rPr>
          <w:rFonts w:ascii="Times New Roman" w:hAnsi="Times New Roman"/>
          <w:b/>
          <w:szCs w:val="24"/>
        </w:rPr>
      </w:pPr>
      <w:r>
        <w:rPr>
          <w:rFonts w:ascii="Times New Roman" w:hAnsi="Times New Roman"/>
          <w:b/>
          <w:szCs w:val="24"/>
          <w:u w:val="single"/>
        </w:rPr>
        <w:t>Material scope</w:t>
      </w:r>
    </w:p>
    <w:p w14:paraId="097CFC11" w14:textId="77777777" w:rsidR="001B521D" w:rsidRDefault="001B521D" w:rsidP="001B521D">
      <w:pPr>
        <w:pStyle w:val="Odstavecseseznamem"/>
        <w:jc w:val="both"/>
        <w:rPr>
          <w:rFonts w:ascii="Times New Roman" w:hAnsi="Times New Roman"/>
          <w:b/>
          <w:szCs w:val="24"/>
          <w:u w:val="single"/>
        </w:rPr>
      </w:pPr>
    </w:p>
    <w:p w14:paraId="1ADECCDA" w14:textId="77777777" w:rsidR="001B521D" w:rsidRDefault="001B521D" w:rsidP="001B521D">
      <w:pPr>
        <w:pStyle w:val="Odstavecseseznamem"/>
        <w:jc w:val="both"/>
        <w:rPr>
          <w:rFonts w:ascii="Times New Roman" w:hAnsi="Times New Roman"/>
          <w:szCs w:val="24"/>
        </w:rPr>
      </w:pPr>
      <w:r>
        <w:rPr>
          <w:rFonts w:ascii="Times New Roman" w:hAnsi="Times New Roman"/>
          <w:szCs w:val="24"/>
        </w:rPr>
        <w:t>A notification, a submission that contains information about possible unlawful conduct, as defined in §2 para. 1 of the Act, which occurred or is to occur in the case of a person for whom the whistleblower has performed or is performing work or other similar activities, even indirectly, or in the case of a person with whom the whistleblower has been or is in contact in connection with the performance of work or other similar activities.</w:t>
      </w:r>
    </w:p>
    <w:p w14:paraId="70659545" w14:textId="77777777" w:rsidR="00572D09" w:rsidRDefault="00572D09" w:rsidP="001B521D">
      <w:pPr>
        <w:pStyle w:val="Odstavecseseznamem"/>
        <w:jc w:val="both"/>
        <w:rPr>
          <w:rFonts w:ascii="Times New Roman" w:hAnsi="Times New Roman"/>
          <w:szCs w:val="24"/>
        </w:rPr>
      </w:pPr>
    </w:p>
    <w:p w14:paraId="041C5C40" w14:textId="77777777" w:rsidR="00572D09" w:rsidRDefault="00572D09" w:rsidP="001B521D">
      <w:pPr>
        <w:pStyle w:val="Odstavecseseznamem"/>
        <w:jc w:val="both"/>
        <w:rPr>
          <w:rFonts w:ascii="Times New Roman" w:hAnsi="Times New Roman"/>
          <w:szCs w:val="24"/>
        </w:rPr>
      </w:pPr>
      <w:r>
        <w:rPr>
          <w:rFonts w:ascii="Times New Roman" w:hAnsi="Times New Roman"/>
          <w:szCs w:val="24"/>
        </w:rPr>
        <w:t>The obliged entity does not exclude the receipt of reports from a person who has not performed work or other similar activities for the obliged entity pursuant to Section 2 (1) of the Act. 3 lit. a), b), h) or i) of the Act.</w:t>
      </w:r>
    </w:p>
    <w:p w14:paraId="4F0BB12E" w14:textId="77777777" w:rsidR="00572D09" w:rsidRPr="001B521D" w:rsidRDefault="00572D09" w:rsidP="001B521D">
      <w:pPr>
        <w:pStyle w:val="Odstavecseseznamem"/>
        <w:jc w:val="both"/>
        <w:rPr>
          <w:rFonts w:ascii="Times New Roman" w:hAnsi="Times New Roman"/>
          <w:szCs w:val="24"/>
        </w:rPr>
      </w:pPr>
    </w:p>
    <w:p w14:paraId="0E9918D1" w14:textId="77777777" w:rsidR="001B521D" w:rsidRPr="00572D09" w:rsidRDefault="00572D09" w:rsidP="00541F14">
      <w:pPr>
        <w:pStyle w:val="Odstavecseseznamem"/>
        <w:numPr>
          <w:ilvl w:val="0"/>
          <w:numId w:val="1"/>
        </w:numPr>
        <w:jc w:val="both"/>
        <w:rPr>
          <w:rFonts w:ascii="Times New Roman" w:hAnsi="Times New Roman"/>
          <w:b/>
          <w:szCs w:val="24"/>
        </w:rPr>
      </w:pPr>
      <w:r>
        <w:rPr>
          <w:rFonts w:ascii="Times New Roman" w:hAnsi="Times New Roman"/>
          <w:b/>
          <w:szCs w:val="24"/>
          <w:u w:val="single"/>
        </w:rPr>
        <w:t>Responsible person</w:t>
      </w:r>
    </w:p>
    <w:p w14:paraId="2259BB02" w14:textId="77777777" w:rsidR="00572D09" w:rsidRDefault="00572D09" w:rsidP="00572D09">
      <w:pPr>
        <w:pStyle w:val="Odstavecseseznamem"/>
        <w:jc w:val="both"/>
        <w:rPr>
          <w:rFonts w:ascii="Times New Roman" w:hAnsi="Times New Roman"/>
          <w:b/>
          <w:szCs w:val="24"/>
          <w:u w:val="single"/>
        </w:rPr>
      </w:pPr>
    </w:p>
    <w:p w14:paraId="6767EE3A" w14:textId="77777777" w:rsidR="00572D09" w:rsidRDefault="00572D09" w:rsidP="00572D09">
      <w:pPr>
        <w:pStyle w:val="Odstavecseseznamem"/>
        <w:jc w:val="both"/>
        <w:rPr>
          <w:rFonts w:ascii="Times New Roman" w:hAnsi="Times New Roman"/>
          <w:szCs w:val="24"/>
        </w:rPr>
      </w:pPr>
      <w:r>
        <w:rPr>
          <w:rFonts w:ascii="Times New Roman" w:hAnsi="Times New Roman"/>
          <w:szCs w:val="24"/>
        </w:rPr>
        <w:t>Persons responsible for receiving and handling reports within the internal whistleblowing system (hereinafter referred to as the "Competent Person"):</w:t>
      </w:r>
    </w:p>
    <w:p w14:paraId="192B113F" w14:textId="77777777" w:rsidR="00572D09" w:rsidRDefault="00572D09" w:rsidP="00572D09">
      <w:pPr>
        <w:pStyle w:val="Odstavecseseznamem"/>
        <w:jc w:val="both"/>
        <w:rPr>
          <w:rFonts w:ascii="Times New Roman" w:hAnsi="Times New Roman"/>
          <w:szCs w:val="24"/>
        </w:rPr>
      </w:pPr>
    </w:p>
    <w:p w14:paraId="24416020" w14:textId="77777777" w:rsidR="00572D09" w:rsidRDefault="00572D09" w:rsidP="00572D09">
      <w:pPr>
        <w:pStyle w:val="Odstavecseseznamem"/>
        <w:jc w:val="both"/>
        <w:rPr>
          <w:rFonts w:ascii="Times New Roman" w:hAnsi="Times New Roman"/>
          <w:szCs w:val="24"/>
        </w:rPr>
      </w:pPr>
      <w:r>
        <w:rPr>
          <w:rFonts w:ascii="Times New Roman" w:hAnsi="Times New Roman"/>
          <w:szCs w:val="24"/>
        </w:rPr>
        <w:t>Martina Čadová</w:t>
      </w:r>
    </w:p>
    <w:p w14:paraId="7B1174FA" w14:textId="77777777" w:rsidR="00572D09" w:rsidRDefault="00572D09" w:rsidP="00572D09">
      <w:pPr>
        <w:pStyle w:val="Odstavecseseznamem"/>
        <w:jc w:val="both"/>
        <w:rPr>
          <w:rFonts w:ascii="Times New Roman" w:hAnsi="Times New Roman"/>
          <w:szCs w:val="24"/>
        </w:rPr>
      </w:pPr>
      <w:r>
        <w:rPr>
          <w:rFonts w:ascii="Times New Roman" w:hAnsi="Times New Roman"/>
          <w:szCs w:val="24"/>
        </w:rPr>
        <w:t>Tel.: 567277099</w:t>
      </w:r>
    </w:p>
    <w:p w14:paraId="67C1945A" w14:textId="77777777" w:rsidR="00572D09" w:rsidRPr="00572D09" w:rsidRDefault="00572D09" w:rsidP="00572D09">
      <w:pPr>
        <w:pStyle w:val="Odstavecseseznamem"/>
        <w:jc w:val="both"/>
        <w:rPr>
          <w:rFonts w:ascii="Times New Roman" w:hAnsi="Times New Roman"/>
          <w:szCs w:val="24"/>
        </w:rPr>
      </w:pPr>
    </w:p>
    <w:p w14:paraId="08653284" w14:textId="77777777" w:rsidR="00572D09" w:rsidRPr="00572D09" w:rsidRDefault="00572D09" w:rsidP="00541F14">
      <w:pPr>
        <w:pStyle w:val="Odstavecseseznamem"/>
        <w:numPr>
          <w:ilvl w:val="0"/>
          <w:numId w:val="1"/>
        </w:numPr>
        <w:jc w:val="both"/>
        <w:rPr>
          <w:rFonts w:ascii="Times New Roman" w:hAnsi="Times New Roman"/>
          <w:b/>
          <w:szCs w:val="24"/>
        </w:rPr>
      </w:pPr>
      <w:r>
        <w:rPr>
          <w:rFonts w:ascii="Times New Roman" w:hAnsi="Times New Roman"/>
          <w:b/>
          <w:szCs w:val="24"/>
          <w:u w:val="single"/>
        </w:rPr>
        <w:t>Method of filing a notification</w:t>
      </w:r>
    </w:p>
    <w:p w14:paraId="2D4FA20F" w14:textId="77777777" w:rsidR="00572D09" w:rsidRDefault="00572D09" w:rsidP="00572D09">
      <w:pPr>
        <w:pStyle w:val="Odstavecseseznamem"/>
        <w:jc w:val="both"/>
        <w:rPr>
          <w:rFonts w:ascii="Times New Roman" w:hAnsi="Times New Roman"/>
          <w:b/>
          <w:szCs w:val="24"/>
          <w:u w:val="single"/>
        </w:rPr>
      </w:pPr>
    </w:p>
    <w:p w14:paraId="6308E473" w14:textId="77777777" w:rsidR="00572D09" w:rsidRDefault="00572D09" w:rsidP="00572D09">
      <w:pPr>
        <w:pStyle w:val="Odstavecseseznamem"/>
        <w:jc w:val="both"/>
        <w:rPr>
          <w:rFonts w:ascii="Times New Roman" w:hAnsi="Times New Roman"/>
          <w:szCs w:val="24"/>
        </w:rPr>
      </w:pPr>
      <w:r>
        <w:rPr>
          <w:rFonts w:ascii="Times New Roman" w:hAnsi="Times New Roman"/>
          <w:szCs w:val="24"/>
        </w:rPr>
        <w:t>At the whistleblower's choice, in writing or orally using:</w:t>
      </w:r>
    </w:p>
    <w:p w14:paraId="67310929" w14:textId="77777777" w:rsidR="00572D09" w:rsidRDefault="00572D09" w:rsidP="00572D09">
      <w:pPr>
        <w:pStyle w:val="Odstavecseseznamem"/>
        <w:jc w:val="both"/>
        <w:rPr>
          <w:rFonts w:ascii="Times New Roman" w:hAnsi="Times New Roman"/>
          <w:szCs w:val="24"/>
        </w:rPr>
      </w:pPr>
    </w:p>
    <w:p w14:paraId="5F394D9F" w14:textId="77777777" w:rsidR="00572D09" w:rsidRDefault="00572D09" w:rsidP="00572D09">
      <w:pPr>
        <w:pStyle w:val="Odstavecseseznamem"/>
        <w:numPr>
          <w:ilvl w:val="0"/>
          <w:numId w:val="2"/>
        </w:numPr>
        <w:jc w:val="both"/>
        <w:rPr>
          <w:rFonts w:ascii="Times New Roman" w:hAnsi="Times New Roman"/>
          <w:szCs w:val="24"/>
        </w:rPr>
      </w:pPr>
      <w:r>
        <w:rPr>
          <w:rFonts w:ascii="Times New Roman" w:hAnsi="Times New Roman"/>
          <w:szCs w:val="24"/>
        </w:rPr>
        <w:t>Internal whistleblowing system</w:t>
      </w:r>
    </w:p>
    <w:p w14:paraId="3463C3E6" w14:textId="77777777" w:rsidR="00CA6651" w:rsidRPr="00CA6651" w:rsidRDefault="00CA6651" w:rsidP="00CA6651">
      <w:pPr>
        <w:ind w:left="720"/>
        <w:jc w:val="both"/>
        <w:rPr>
          <w:rFonts w:ascii="Times New Roman" w:hAnsi="Times New Roman"/>
          <w:szCs w:val="24"/>
        </w:rPr>
      </w:pPr>
    </w:p>
    <w:p w14:paraId="725F210C" w14:textId="77777777" w:rsidR="00572D09" w:rsidRDefault="00CA6651" w:rsidP="00572D09">
      <w:pPr>
        <w:pStyle w:val="Odstavecseseznamem"/>
        <w:numPr>
          <w:ilvl w:val="0"/>
          <w:numId w:val="3"/>
        </w:numPr>
        <w:jc w:val="both"/>
        <w:rPr>
          <w:rFonts w:ascii="Times New Roman" w:hAnsi="Times New Roman"/>
          <w:szCs w:val="24"/>
        </w:rPr>
      </w:pPr>
      <w:r>
        <w:rPr>
          <w:rFonts w:ascii="Times New Roman" w:hAnsi="Times New Roman"/>
          <w:szCs w:val="24"/>
        </w:rPr>
        <w:t xml:space="preserve">in electronic form by email: </w:t>
      </w:r>
      <w:hyperlink r:id="rId6" w:history="1">
        <w:r w:rsidRPr="00925A37">
          <w:rPr>
            <w:rStyle w:val="Hypertextovodkaz"/>
            <w:rFonts w:ascii="Times New Roman" w:hAnsi="Times New Roman"/>
            <w:szCs w:val="24"/>
          </w:rPr>
          <w:t>oznamovatel@swrjihlava.cz</w:t>
        </w:r>
      </w:hyperlink>
    </w:p>
    <w:p w14:paraId="4683C909" w14:textId="77777777" w:rsidR="00CA6651" w:rsidRDefault="00CA6651" w:rsidP="00CA6651">
      <w:pPr>
        <w:pStyle w:val="Odstavecseseznamem"/>
        <w:ind w:left="1440"/>
        <w:jc w:val="both"/>
        <w:rPr>
          <w:rFonts w:ascii="Times New Roman" w:hAnsi="Times New Roman"/>
          <w:szCs w:val="24"/>
        </w:rPr>
      </w:pPr>
    </w:p>
    <w:p w14:paraId="48C44BE4" w14:textId="77777777" w:rsidR="00CA6651" w:rsidRDefault="00CA6651" w:rsidP="00572D09">
      <w:pPr>
        <w:pStyle w:val="Odstavecseseznamem"/>
        <w:numPr>
          <w:ilvl w:val="0"/>
          <w:numId w:val="3"/>
        </w:numPr>
        <w:jc w:val="both"/>
        <w:rPr>
          <w:rFonts w:ascii="Times New Roman" w:hAnsi="Times New Roman"/>
          <w:szCs w:val="24"/>
        </w:rPr>
      </w:pPr>
      <w:r>
        <w:rPr>
          <w:rFonts w:ascii="Times New Roman" w:hAnsi="Times New Roman"/>
          <w:szCs w:val="24"/>
        </w:rPr>
        <w:lastRenderedPageBreak/>
        <w:t>in paper form; Such notification must be delivered to the registered office of the obliged entity in a closed envelope marked as follows:</w:t>
      </w:r>
    </w:p>
    <w:p w14:paraId="2DA039B4" w14:textId="77777777" w:rsidR="00CA6651" w:rsidRDefault="00CA6651" w:rsidP="00CA6651">
      <w:pPr>
        <w:pStyle w:val="Odstavecseseznamem"/>
        <w:ind w:left="1440"/>
        <w:jc w:val="both"/>
        <w:rPr>
          <w:rFonts w:ascii="Times New Roman" w:hAnsi="Times New Roman"/>
          <w:szCs w:val="24"/>
        </w:rPr>
      </w:pPr>
    </w:p>
    <w:p w14:paraId="76D279FE" w14:textId="77777777" w:rsidR="00CA6651" w:rsidRDefault="00CA6651" w:rsidP="00CA6651">
      <w:pPr>
        <w:pStyle w:val="Odstavecseseznamem"/>
        <w:ind w:left="1440"/>
        <w:jc w:val="both"/>
        <w:rPr>
          <w:rFonts w:ascii="Times New Roman" w:hAnsi="Times New Roman"/>
          <w:szCs w:val="24"/>
        </w:rPr>
      </w:pPr>
      <w:r>
        <w:rPr>
          <w:rFonts w:ascii="Times New Roman" w:hAnsi="Times New Roman"/>
          <w:szCs w:val="24"/>
        </w:rPr>
        <w:t>s r.o.</w:t>
      </w:r>
    </w:p>
    <w:p w14:paraId="039EE9AE" w14:textId="77777777" w:rsidR="00CA6651" w:rsidRDefault="00CA6651" w:rsidP="00CA6651">
      <w:pPr>
        <w:pStyle w:val="Odstavecseseznamem"/>
        <w:ind w:left="1440"/>
        <w:jc w:val="both"/>
        <w:rPr>
          <w:rFonts w:ascii="Times New Roman" w:hAnsi="Times New Roman"/>
          <w:szCs w:val="24"/>
        </w:rPr>
      </w:pPr>
      <w:r>
        <w:rPr>
          <w:rFonts w:ascii="Times New Roman" w:hAnsi="Times New Roman"/>
          <w:szCs w:val="24"/>
        </w:rPr>
        <w:t>Jamné 48</w:t>
      </w:r>
    </w:p>
    <w:p w14:paraId="02777AFA" w14:textId="77777777" w:rsidR="00CA6651" w:rsidRDefault="00CA6651" w:rsidP="00CA6651">
      <w:pPr>
        <w:pStyle w:val="Odstavecseseznamem"/>
        <w:ind w:left="1440"/>
        <w:jc w:val="both"/>
        <w:rPr>
          <w:rFonts w:ascii="Times New Roman" w:hAnsi="Times New Roman"/>
          <w:szCs w:val="24"/>
        </w:rPr>
      </w:pPr>
      <w:r>
        <w:rPr>
          <w:rFonts w:ascii="Times New Roman" w:hAnsi="Times New Roman"/>
          <w:szCs w:val="24"/>
        </w:rPr>
        <w:t>588 27 Jamné</w:t>
      </w:r>
    </w:p>
    <w:p w14:paraId="3CB5763A" w14:textId="77777777" w:rsidR="00CA6651" w:rsidRDefault="00CA6651" w:rsidP="00CA6651">
      <w:pPr>
        <w:pStyle w:val="Odstavecseseznamem"/>
        <w:ind w:left="1440"/>
        <w:jc w:val="both"/>
        <w:rPr>
          <w:rFonts w:ascii="Times New Roman" w:hAnsi="Times New Roman"/>
          <w:szCs w:val="24"/>
        </w:rPr>
      </w:pPr>
      <w:r>
        <w:rPr>
          <w:rFonts w:ascii="Times New Roman" w:hAnsi="Times New Roman"/>
          <w:szCs w:val="24"/>
        </w:rPr>
        <w:t>"DO NOT OPEN – ANNOUNCER" – to the attention of Martina Čadová</w:t>
      </w:r>
    </w:p>
    <w:p w14:paraId="18856BC3" w14:textId="77777777" w:rsidR="00CA6651" w:rsidRDefault="00CA6651" w:rsidP="00CA6651">
      <w:pPr>
        <w:pStyle w:val="Odstavecseseznamem"/>
        <w:ind w:left="1440"/>
        <w:jc w:val="both"/>
        <w:rPr>
          <w:rFonts w:ascii="Times New Roman" w:hAnsi="Times New Roman"/>
          <w:szCs w:val="24"/>
        </w:rPr>
      </w:pPr>
    </w:p>
    <w:p w14:paraId="5183D667" w14:textId="77777777" w:rsidR="00CA6651" w:rsidRDefault="00CA6651" w:rsidP="00572D09">
      <w:pPr>
        <w:pStyle w:val="Odstavecseseznamem"/>
        <w:numPr>
          <w:ilvl w:val="0"/>
          <w:numId w:val="3"/>
        </w:numPr>
        <w:jc w:val="both"/>
        <w:rPr>
          <w:rFonts w:ascii="Times New Roman" w:hAnsi="Times New Roman"/>
          <w:szCs w:val="24"/>
        </w:rPr>
      </w:pPr>
      <w:r>
        <w:rPr>
          <w:rFonts w:ascii="Times New Roman" w:hAnsi="Times New Roman"/>
          <w:szCs w:val="24"/>
        </w:rPr>
        <w:t>orally; by telephone or in person after a telephone agreement with the relevant person within a reasonable time, but no later than 14 days from the date on which the whistleblower requests it; A record of the oral announcement shall be made which faithfully captures the essence of the oral announcement.</w:t>
      </w:r>
    </w:p>
    <w:p w14:paraId="49C520F5" w14:textId="77777777" w:rsidR="001F3FDB" w:rsidRDefault="001F3FDB" w:rsidP="001F3FDB">
      <w:pPr>
        <w:ind w:left="1080"/>
        <w:jc w:val="both"/>
        <w:rPr>
          <w:rFonts w:ascii="Times New Roman" w:hAnsi="Times New Roman"/>
          <w:szCs w:val="24"/>
        </w:rPr>
      </w:pPr>
    </w:p>
    <w:p w14:paraId="2A8E344B" w14:textId="77777777" w:rsidR="001F3FDB" w:rsidRDefault="001F3FDB" w:rsidP="001F3FDB">
      <w:pPr>
        <w:ind w:left="1080"/>
        <w:jc w:val="both"/>
        <w:rPr>
          <w:rFonts w:ascii="Times New Roman" w:hAnsi="Times New Roman"/>
          <w:szCs w:val="24"/>
        </w:rPr>
      </w:pPr>
      <w:r>
        <w:rPr>
          <w:rFonts w:ascii="Times New Roman" w:hAnsi="Times New Roman"/>
          <w:szCs w:val="24"/>
        </w:rPr>
        <w:t>The notification must be comprehensible and definite, it must be clear what conduct it concerns. It must contain information about the name, surname and date of birth, or other data from which it is possible to deduce the identity of the whistleblower; Identification data are not required if the report was made by a person known to the person concerned.</w:t>
      </w:r>
    </w:p>
    <w:p w14:paraId="2C78DA31" w14:textId="77777777" w:rsidR="00CA6651" w:rsidRDefault="00CA6651" w:rsidP="001F3FDB">
      <w:pPr>
        <w:pStyle w:val="Odstavecseseznamem"/>
        <w:ind w:left="1440"/>
        <w:jc w:val="both"/>
        <w:rPr>
          <w:rFonts w:ascii="Times New Roman" w:hAnsi="Times New Roman"/>
          <w:szCs w:val="24"/>
        </w:rPr>
      </w:pPr>
    </w:p>
    <w:p w14:paraId="33576570" w14:textId="77777777" w:rsidR="00572D09" w:rsidRDefault="001F3FDB" w:rsidP="00572D09">
      <w:pPr>
        <w:pStyle w:val="Odstavecseseznamem"/>
        <w:numPr>
          <w:ilvl w:val="0"/>
          <w:numId w:val="2"/>
        </w:numPr>
        <w:jc w:val="both"/>
        <w:rPr>
          <w:rFonts w:ascii="Times New Roman" w:hAnsi="Times New Roman"/>
          <w:szCs w:val="24"/>
        </w:rPr>
      </w:pPr>
      <w:r>
        <w:rPr>
          <w:rFonts w:ascii="Times New Roman" w:hAnsi="Times New Roman"/>
          <w:szCs w:val="24"/>
        </w:rPr>
        <w:t>External notification system</w:t>
      </w:r>
    </w:p>
    <w:p w14:paraId="3ADB5926" w14:textId="77777777" w:rsidR="001F3FDB" w:rsidRDefault="001F3FDB" w:rsidP="001F3FDB">
      <w:pPr>
        <w:pStyle w:val="Odstavecseseznamem"/>
        <w:ind w:left="1080"/>
        <w:jc w:val="both"/>
        <w:rPr>
          <w:rFonts w:ascii="Times New Roman" w:hAnsi="Times New Roman"/>
          <w:szCs w:val="24"/>
        </w:rPr>
      </w:pPr>
    </w:p>
    <w:p w14:paraId="0BF7CA05" w14:textId="77777777" w:rsidR="00C3212F" w:rsidRDefault="001F3FDB" w:rsidP="001F3FDB">
      <w:pPr>
        <w:pStyle w:val="Odstavecseseznamem"/>
        <w:ind w:left="1080"/>
        <w:jc w:val="both"/>
        <w:rPr>
          <w:rFonts w:ascii="Times New Roman" w:hAnsi="Times New Roman"/>
          <w:szCs w:val="24"/>
        </w:rPr>
      </w:pPr>
      <w:r>
        <w:rPr>
          <w:rFonts w:ascii="Times New Roman" w:hAnsi="Times New Roman"/>
          <w:szCs w:val="24"/>
        </w:rPr>
        <w:t xml:space="preserve">Notifications can be submitted through the system maintained by the Ministry of Justice: </w:t>
      </w:r>
      <w:hyperlink r:id="rId7" w:history="1">
        <w:r w:rsidR="00C3212F" w:rsidRPr="00925A37">
          <w:rPr>
            <w:rStyle w:val="Hypertextovodkaz"/>
            <w:rFonts w:ascii="Times New Roman" w:hAnsi="Times New Roman"/>
            <w:szCs w:val="24"/>
          </w:rPr>
          <w:t>https://oznamovatel.justice.cz/</w:t>
        </w:r>
      </w:hyperlink>
    </w:p>
    <w:p w14:paraId="3C0DD2AC" w14:textId="77777777" w:rsidR="001F3FDB" w:rsidRDefault="001F3FDB" w:rsidP="001F3FDB">
      <w:pPr>
        <w:pStyle w:val="Odstavecseseznamem"/>
        <w:ind w:left="1080"/>
        <w:jc w:val="both"/>
        <w:rPr>
          <w:rFonts w:ascii="Times New Roman" w:hAnsi="Times New Roman"/>
          <w:szCs w:val="24"/>
        </w:rPr>
      </w:pPr>
    </w:p>
    <w:p w14:paraId="7957D471" w14:textId="77777777" w:rsidR="001F3FDB" w:rsidRDefault="007633F2" w:rsidP="00572D09">
      <w:pPr>
        <w:pStyle w:val="Odstavecseseznamem"/>
        <w:numPr>
          <w:ilvl w:val="0"/>
          <w:numId w:val="2"/>
        </w:numPr>
        <w:jc w:val="both"/>
        <w:rPr>
          <w:rFonts w:ascii="Times New Roman" w:hAnsi="Times New Roman"/>
          <w:szCs w:val="24"/>
        </w:rPr>
      </w:pPr>
      <w:r>
        <w:rPr>
          <w:rFonts w:ascii="Times New Roman" w:hAnsi="Times New Roman"/>
          <w:szCs w:val="24"/>
        </w:rPr>
        <w:t>Publication of the announcement</w:t>
      </w:r>
    </w:p>
    <w:p w14:paraId="397DE997" w14:textId="77777777" w:rsidR="007633F2" w:rsidRDefault="007633F2" w:rsidP="007633F2">
      <w:pPr>
        <w:pStyle w:val="Odstavecseseznamem"/>
        <w:ind w:left="1080"/>
        <w:jc w:val="both"/>
        <w:rPr>
          <w:rFonts w:ascii="Times New Roman" w:hAnsi="Times New Roman"/>
          <w:szCs w:val="24"/>
        </w:rPr>
      </w:pPr>
    </w:p>
    <w:p w14:paraId="2E77071F" w14:textId="77777777" w:rsidR="007633F2" w:rsidRDefault="007633F2" w:rsidP="007633F2">
      <w:pPr>
        <w:pStyle w:val="Odstavecseseznamem"/>
        <w:ind w:left="1080"/>
        <w:jc w:val="both"/>
        <w:rPr>
          <w:rFonts w:ascii="Times New Roman" w:hAnsi="Times New Roman"/>
          <w:szCs w:val="24"/>
        </w:rPr>
      </w:pPr>
      <w:r>
        <w:rPr>
          <w:rFonts w:ascii="Times New Roman" w:hAnsi="Times New Roman"/>
          <w:szCs w:val="24"/>
        </w:rPr>
        <w:t>The whistleblower may publish the announcement, i.e. make the information from the announcement available to the public, only under the conditions specified in Section 7 para. 1 lit. c) of the Act.</w:t>
      </w:r>
    </w:p>
    <w:p w14:paraId="2758EBC2" w14:textId="77777777" w:rsidR="007633F2" w:rsidRDefault="007633F2" w:rsidP="007633F2">
      <w:pPr>
        <w:pStyle w:val="Odstavecseseznamem"/>
        <w:ind w:left="1080"/>
        <w:jc w:val="both"/>
        <w:rPr>
          <w:rFonts w:ascii="Times New Roman" w:hAnsi="Times New Roman"/>
          <w:szCs w:val="24"/>
        </w:rPr>
      </w:pPr>
    </w:p>
    <w:p w14:paraId="19592D7F" w14:textId="77777777" w:rsidR="007633F2" w:rsidRDefault="007633F2" w:rsidP="00572D09">
      <w:pPr>
        <w:pStyle w:val="Odstavecseseznamem"/>
        <w:numPr>
          <w:ilvl w:val="0"/>
          <w:numId w:val="2"/>
        </w:numPr>
        <w:jc w:val="both"/>
        <w:rPr>
          <w:rFonts w:ascii="Times New Roman" w:hAnsi="Times New Roman"/>
          <w:szCs w:val="24"/>
        </w:rPr>
      </w:pPr>
      <w:r>
        <w:rPr>
          <w:rFonts w:ascii="Times New Roman" w:hAnsi="Times New Roman"/>
          <w:szCs w:val="24"/>
        </w:rPr>
        <w:t>Submission of notifications directly to the relevant public authorities.</w:t>
      </w:r>
    </w:p>
    <w:p w14:paraId="0D332793" w14:textId="77777777" w:rsidR="007633F2" w:rsidRPr="00572D09" w:rsidRDefault="007633F2" w:rsidP="007633F2">
      <w:pPr>
        <w:pStyle w:val="Odstavecseseznamem"/>
        <w:ind w:left="1080"/>
        <w:jc w:val="both"/>
        <w:rPr>
          <w:rFonts w:ascii="Times New Roman" w:hAnsi="Times New Roman"/>
          <w:szCs w:val="24"/>
        </w:rPr>
      </w:pPr>
    </w:p>
    <w:p w14:paraId="7E81DBFC" w14:textId="77777777" w:rsidR="00572D09" w:rsidRPr="003D3DD1" w:rsidRDefault="003D3DD1" w:rsidP="00541F14">
      <w:pPr>
        <w:pStyle w:val="Odstavecseseznamem"/>
        <w:numPr>
          <w:ilvl w:val="0"/>
          <w:numId w:val="1"/>
        </w:numPr>
        <w:jc w:val="both"/>
        <w:rPr>
          <w:rFonts w:ascii="Times New Roman" w:hAnsi="Times New Roman"/>
          <w:b/>
          <w:szCs w:val="24"/>
        </w:rPr>
      </w:pPr>
      <w:r>
        <w:rPr>
          <w:rFonts w:ascii="Times New Roman" w:hAnsi="Times New Roman"/>
          <w:b/>
          <w:szCs w:val="24"/>
          <w:u w:val="single"/>
        </w:rPr>
        <w:t>Notification settlement method</w:t>
      </w:r>
    </w:p>
    <w:p w14:paraId="56E14B7B" w14:textId="77777777" w:rsidR="003D3DD1" w:rsidRDefault="003D3DD1" w:rsidP="003D3DD1">
      <w:pPr>
        <w:pStyle w:val="Odstavecseseznamem"/>
        <w:jc w:val="both"/>
        <w:rPr>
          <w:rFonts w:ascii="Times New Roman" w:hAnsi="Times New Roman"/>
          <w:szCs w:val="24"/>
        </w:rPr>
      </w:pPr>
    </w:p>
    <w:p w14:paraId="1C198E1E" w14:textId="77777777" w:rsidR="003D3DD1" w:rsidRDefault="003D3DD1" w:rsidP="003D3DD1">
      <w:pPr>
        <w:pStyle w:val="Odstavecseseznamem"/>
        <w:jc w:val="both"/>
        <w:rPr>
          <w:rFonts w:ascii="Times New Roman" w:hAnsi="Times New Roman"/>
          <w:szCs w:val="24"/>
        </w:rPr>
      </w:pPr>
      <w:r>
        <w:rPr>
          <w:rFonts w:ascii="Times New Roman" w:hAnsi="Times New Roman"/>
          <w:szCs w:val="24"/>
        </w:rPr>
        <w:t>Within 7 days of receipt of the notification, the competent person shall confirm receipt of the report to the whistleblower, unless the whistleblower has expressly requested not to be notified of receipt or it is clear that notification would disclose the identity of the whistleblower to another person.</w:t>
      </w:r>
    </w:p>
    <w:p w14:paraId="1B6DE5F9" w14:textId="77777777" w:rsidR="003D3DD1" w:rsidRDefault="003D3DD1" w:rsidP="003D3DD1">
      <w:pPr>
        <w:pStyle w:val="Odstavecseseznamem"/>
        <w:jc w:val="both"/>
        <w:rPr>
          <w:rFonts w:ascii="Times New Roman" w:hAnsi="Times New Roman"/>
          <w:szCs w:val="24"/>
        </w:rPr>
      </w:pPr>
    </w:p>
    <w:p w14:paraId="621C4976" w14:textId="77777777" w:rsidR="003D3DD1" w:rsidRDefault="003D3DD1" w:rsidP="003D3DD1">
      <w:pPr>
        <w:pStyle w:val="Odstavecseseznamem"/>
        <w:jc w:val="both"/>
        <w:rPr>
          <w:rFonts w:ascii="Times New Roman" w:hAnsi="Times New Roman"/>
          <w:szCs w:val="24"/>
        </w:rPr>
      </w:pPr>
      <w:r>
        <w:rPr>
          <w:rFonts w:ascii="Times New Roman" w:hAnsi="Times New Roman"/>
          <w:szCs w:val="24"/>
        </w:rPr>
        <w:t>The competent person shall assess the merits of the report and notify the whistleblower of the results of the assessment of the report within 30 days from the date of receipt of the report. In complex cases, the deadline may be extended by up to 30 days, but no more than twice.</w:t>
      </w:r>
    </w:p>
    <w:p w14:paraId="723B230F" w14:textId="77777777" w:rsidR="000D7C27" w:rsidRDefault="000D7C27" w:rsidP="000D7C27">
      <w:pPr>
        <w:jc w:val="both"/>
        <w:rPr>
          <w:rFonts w:ascii="Times New Roman" w:hAnsi="Times New Roman"/>
          <w:szCs w:val="24"/>
        </w:rPr>
      </w:pPr>
    </w:p>
    <w:p w14:paraId="61BCE591" w14:textId="77777777" w:rsidR="000D7C27" w:rsidRDefault="000D7C27" w:rsidP="000D7C27">
      <w:pPr>
        <w:ind w:firstLine="708"/>
        <w:jc w:val="both"/>
        <w:rPr>
          <w:rFonts w:ascii="Times New Roman" w:hAnsi="Times New Roman"/>
          <w:szCs w:val="24"/>
        </w:rPr>
      </w:pPr>
    </w:p>
    <w:p w14:paraId="26BFD3E7" w14:textId="77777777" w:rsidR="000D7C27" w:rsidRPr="000D7C27" w:rsidRDefault="000D7C27" w:rsidP="000D7C27">
      <w:pPr>
        <w:ind w:left="708"/>
        <w:jc w:val="both"/>
        <w:rPr>
          <w:rFonts w:ascii="Times New Roman" w:hAnsi="Times New Roman"/>
          <w:szCs w:val="24"/>
        </w:rPr>
      </w:pPr>
      <w:r>
        <w:rPr>
          <w:rFonts w:ascii="Times New Roman" w:hAnsi="Times New Roman"/>
          <w:szCs w:val="24"/>
        </w:rPr>
        <w:t xml:space="preserve">An overview of legislation related to whistleblower protection, recommendations and other information for the public and whistleblowers are published on the website of the Ministry of Justice: </w:t>
      </w:r>
      <w:hyperlink r:id="rId8" w:history="1">
        <w:r w:rsidRPr="00925A37">
          <w:rPr>
            <w:rStyle w:val="Hypertextovodkaz"/>
            <w:rFonts w:ascii="Times New Roman" w:hAnsi="Times New Roman"/>
            <w:szCs w:val="24"/>
          </w:rPr>
          <w:t>https://oznamovatel.justice.cz/</w:t>
        </w:r>
      </w:hyperlink>
      <w:r>
        <w:rPr>
          <w:rFonts w:ascii="Times New Roman" w:hAnsi="Times New Roman"/>
          <w:szCs w:val="24"/>
        </w:rPr>
        <w:t>.</w:t>
      </w:r>
    </w:p>
    <w:p w14:paraId="283111CC" w14:textId="77777777" w:rsidR="003D3DD1" w:rsidRDefault="003D3DD1" w:rsidP="003D3DD1">
      <w:pPr>
        <w:pStyle w:val="Odstavecseseznamem"/>
        <w:jc w:val="both"/>
        <w:rPr>
          <w:rFonts w:ascii="Times New Roman" w:hAnsi="Times New Roman"/>
          <w:szCs w:val="24"/>
        </w:rPr>
      </w:pPr>
    </w:p>
    <w:p w14:paraId="7D848085" w14:textId="77777777" w:rsidR="003D3DD1" w:rsidRPr="003D3DD1" w:rsidRDefault="003D3DD1" w:rsidP="003D3DD1">
      <w:pPr>
        <w:pStyle w:val="Odstavecseseznamem"/>
        <w:jc w:val="both"/>
        <w:rPr>
          <w:rFonts w:ascii="Times New Roman" w:hAnsi="Times New Roman"/>
          <w:szCs w:val="24"/>
        </w:rPr>
      </w:pPr>
    </w:p>
    <w:p w14:paraId="5F435E1C" w14:textId="4FDB3713" w:rsidR="00FC21F3" w:rsidRPr="00FC21F3" w:rsidRDefault="00FC21F3" w:rsidP="00541F14">
      <w:pPr>
        <w:pStyle w:val="Odstavecseseznamem"/>
        <w:jc w:val="both"/>
        <w:rPr>
          <w:rFonts w:ascii="Times New Roman" w:hAnsi="Times New Roman"/>
          <w:b/>
          <w:szCs w:val="24"/>
        </w:rPr>
      </w:pPr>
    </w:p>
    <w:sectPr w:rsidR="00FC21F3" w:rsidRPr="00FC21F3" w:rsidSect="001F3FDB">
      <w:pgSz w:w="11906" w:h="16838" w:code="9"/>
      <w:pgMar w:top="1134" w:right="1418" w:bottom="1304" w:left="851" w:header="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2A68"/>
    <w:multiLevelType w:val="hybridMultilevel"/>
    <w:tmpl w:val="570E10B8"/>
    <w:lvl w:ilvl="0" w:tplc="610676A6">
      <w:start w:val="1"/>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C2B3648"/>
    <w:multiLevelType w:val="hybridMultilevel"/>
    <w:tmpl w:val="E8B62D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EEC43FD"/>
    <w:multiLevelType w:val="hybridMultilevel"/>
    <w:tmpl w:val="A3C2C982"/>
    <w:lvl w:ilvl="0" w:tplc="210C35C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134101167">
    <w:abstractNumId w:val="1"/>
  </w:num>
  <w:num w:numId="2" w16cid:durableId="208146964">
    <w:abstractNumId w:val="2"/>
  </w:num>
  <w:num w:numId="3" w16cid:durableId="219446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1F3"/>
    <w:rsid w:val="000D7C27"/>
    <w:rsid w:val="001B521D"/>
    <w:rsid w:val="001F3FDB"/>
    <w:rsid w:val="003D3DD1"/>
    <w:rsid w:val="00541F14"/>
    <w:rsid w:val="00572D09"/>
    <w:rsid w:val="00625815"/>
    <w:rsid w:val="007633F2"/>
    <w:rsid w:val="007C7C2D"/>
    <w:rsid w:val="00A76B99"/>
    <w:rsid w:val="00AE7109"/>
    <w:rsid w:val="00C3212F"/>
    <w:rsid w:val="00CA6651"/>
    <w:rsid w:val="00D51CF3"/>
    <w:rsid w:val="00E27E32"/>
    <w:rsid w:val="00E67A8D"/>
    <w:rsid w:val="00F33CE6"/>
    <w:rsid w:val="00FC21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EAF6"/>
  <w15:chartTrackingRefBased/>
  <w15:docId w15:val="{2507C2E4-1872-48D0-8547-7A3AC662A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C21F3"/>
    <w:pPr>
      <w:spacing w:after="0" w:line="240" w:lineRule="auto"/>
    </w:pPr>
    <w:rPr>
      <w:rFonts w:ascii="Arial" w:eastAsia="Times New Roman" w:hAnsi="Arial" w:cs="Times New Roman"/>
      <w:color w:val="00000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unhideWhenUsed/>
    <w:rsid w:val="00FC21F3"/>
    <w:pPr>
      <w:tabs>
        <w:tab w:val="center" w:pos="4536"/>
        <w:tab w:val="right" w:pos="9072"/>
      </w:tabs>
    </w:pPr>
  </w:style>
  <w:style w:type="character" w:customStyle="1" w:styleId="ZhlavChar">
    <w:name w:val="Záhlaví Char"/>
    <w:basedOn w:val="Standardnpsmoodstavce"/>
    <w:link w:val="Zhlav"/>
    <w:semiHidden/>
    <w:rsid w:val="00FC21F3"/>
    <w:rPr>
      <w:rFonts w:ascii="Arial" w:eastAsia="Times New Roman" w:hAnsi="Arial" w:cs="Times New Roman"/>
      <w:color w:val="000000"/>
      <w:sz w:val="24"/>
      <w:szCs w:val="20"/>
      <w:lang w:eastAsia="cs-CZ"/>
    </w:rPr>
  </w:style>
  <w:style w:type="paragraph" w:styleId="Odstavecseseznamem">
    <w:name w:val="List Paragraph"/>
    <w:basedOn w:val="Normln"/>
    <w:uiPriority w:val="34"/>
    <w:qFormat/>
    <w:rsid w:val="00FC21F3"/>
    <w:pPr>
      <w:ind w:left="720"/>
      <w:contextualSpacing/>
    </w:pPr>
  </w:style>
  <w:style w:type="character" w:styleId="Hypertextovodkaz">
    <w:name w:val="Hyperlink"/>
    <w:basedOn w:val="Standardnpsmoodstavce"/>
    <w:uiPriority w:val="99"/>
    <w:unhideWhenUsed/>
    <w:rsid w:val="00CA6651"/>
    <w:rPr>
      <w:color w:val="0563C1" w:themeColor="hyperlink"/>
      <w:u w:val="single"/>
    </w:rPr>
  </w:style>
  <w:style w:type="paragraph" w:styleId="Textbubliny">
    <w:name w:val="Balloon Text"/>
    <w:basedOn w:val="Normln"/>
    <w:link w:val="TextbublinyChar"/>
    <w:uiPriority w:val="99"/>
    <w:semiHidden/>
    <w:unhideWhenUsed/>
    <w:rsid w:val="00D51CF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1CF3"/>
    <w:rPr>
      <w:rFonts w:ascii="Segoe UI" w:eastAsia="Times New Roman" w:hAnsi="Segoe UI" w:cs="Segoe UI"/>
      <w:color w:val="000000"/>
      <w:sz w:val="18"/>
      <w:szCs w:val="18"/>
      <w:lang w:eastAsia="cs-CZ"/>
    </w:rPr>
  </w:style>
  <w:style w:type="character" w:styleId="Zstupntext">
    <w:name w:val="Placeholder Text"/>
    <w:basedOn w:val="Standardnpsmoodstavce"/>
    <w:uiPriority w:val="99"/>
    <w:semiHidden/>
    <w:rsid w:val="00AE71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39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namovatel.justice.cz/" TargetMode="External"/><Relationship Id="rId3" Type="http://schemas.openxmlformats.org/officeDocument/2006/relationships/settings" Target="settings.xml"/><Relationship Id="rId7" Type="http://schemas.openxmlformats.org/officeDocument/2006/relationships/hyperlink" Target="https://oznamovatel.just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znamovatel@swrjihlava.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3336</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Čadová Martina</dc:creator>
  <cp:keywords/>
  <dc:description/>
  <cp:lastModifiedBy>Pavel Janeček</cp:lastModifiedBy>
  <cp:revision>1</cp:revision>
  <cp:lastPrinted>2023-11-01T13:39:00Z</cp:lastPrinted>
  <dcterms:created xsi:type="dcterms:W3CDTF">2025-04-17T10:24:00Z</dcterms:created>
  <dcterms:modified xsi:type="dcterms:W3CDTF">2025-04-17T10:26:00Z</dcterms:modified>
</cp:coreProperties>
</file>